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The Legacy Compass — Principles</w:t>
      </w:r>
    </w:p>
    <w:p>
      <w:r>
        <w:rPr>
          <w:rFonts w:ascii="Inter" w:hAnsi="Inter"/>
          <w:b w:val="0"/>
          <w:color w:val="333333"/>
          <w:sz w:val="22"/>
        </w:rPr>
        <w:t>Define the foundational principles that guide your life’s work.</w:t>
      </w:r>
    </w:p>
    <w:p>
      <w:r>
        <w:rPr>
          <w:rFonts w:ascii="Inter" w:hAnsi="Inter"/>
          <w:b/>
          <w:color w:val="2D4F6D"/>
          <w:sz w:val="28"/>
        </w:rPr>
        <w:t>Your Guiding Principles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/>
          <w:color w:val="2D4F6D"/>
          <w:sz w:val="28"/>
        </w:rPr>
        <w:t>Ethical Non-Negotiables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Principle Conflicts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Alignment Commitments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pPr>
        <w:jc w:val="center"/>
      </w:pPr>
      <w:r>
        <w:rPr>
          <w:rFonts w:ascii="Inter" w:hAnsi="Inter"/>
          <w:b w:val="0"/>
          <w:color w:val="333333"/>
          <w:sz w:val="18"/>
        </w:rPr>
        <w:t>Principles shape the work that outlives you.</w:t>
      </w:r>
    </w:p>
    <w:p>
      <w:r>
        <w:br w:type="page"/>
      </w:r>
    </w:p>
    <w:p>
      <w:r>
        <w:rPr>
          <w:rFonts w:ascii="Inter" w:hAnsi="Inter"/>
          <w:b/>
          <w:color w:val="2D4F6D"/>
          <w:sz w:val="44"/>
        </w:rPr>
        <w:t>The Legacy Compass — People</w:t>
      </w:r>
    </w:p>
    <w:p>
      <w:r>
        <w:rPr>
          <w:rFonts w:ascii="Inter" w:hAnsi="Inter"/>
          <w:b w:val="0"/>
          <w:color w:val="333333"/>
          <w:sz w:val="22"/>
        </w:rPr>
        <w:t>Clarify who your work is for, and how you intend to support them long-term.</w:t>
      </w:r>
    </w:p>
    <w:p>
      <w:r>
        <w:rPr>
          <w:rFonts w:ascii="Inter" w:hAnsi="Inter"/>
          <w:b/>
          <w:color w:val="2D4F6D"/>
          <w:sz w:val="28"/>
        </w:rPr>
        <w:t>The People You Serve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What You Want for Them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Your Relationship Philosophy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Long-Term Support Structures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pPr>
        <w:jc w:val="center"/>
      </w:pPr>
      <w:r>
        <w:rPr>
          <w:rFonts w:ascii="Inter" w:hAnsi="Inter"/>
          <w:b w:val="0"/>
          <w:color w:val="333333"/>
          <w:sz w:val="18"/>
        </w:rPr>
        <w:t>Legacy grows through the people your work touches.</w:t>
      </w:r>
    </w:p>
    <w:p>
      <w:r>
        <w:br w:type="page"/>
      </w:r>
    </w:p>
    <w:p>
      <w:r>
        <w:rPr>
          <w:rFonts w:ascii="Inter" w:hAnsi="Inter"/>
          <w:b/>
          <w:color w:val="2D4F6D"/>
          <w:sz w:val="44"/>
        </w:rPr>
        <w:t>The Legacy Compass — Systems &amp; Impact</w:t>
      </w:r>
    </w:p>
    <w:p>
      <w:r>
        <w:rPr>
          <w:rFonts w:ascii="Inter" w:hAnsi="Inter"/>
          <w:b w:val="0"/>
          <w:color w:val="333333"/>
          <w:sz w:val="22"/>
        </w:rPr>
        <w:t>Design what continues working when you step back — and the impact that remains.</w:t>
      </w:r>
    </w:p>
    <w:p>
      <w:r>
        <w:rPr>
          <w:rFonts w:ascii="Inter" w:hAnsi="Inter"/>
          <w:b/>
          <w:color w:val="2D4F6D"/>
          <w:sz w:val="28"/>
        </w:rPr>
        <w:t>Systems That Should Outlast You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Work That Will Matter Later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Impact Horizon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Legacy Actions (Next 12 Months)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r>
        <w:rPr>
          <w:rFonts w:ascii="Inter" w:hAnsi="Inter"/>
          <w:b w:val="0"/>
          <w:color w:val="333333"/>
          <w:sz w:val="22"/>
        </w:rPr>
        <w:t xml:space="preserve">• </w:t>
      </w:r>
    </w:p>
    <w:p>
      <w:pPr>
        <w:jc w:val="center"/>
      </w:pPr>
      <w:r>
        <w:rPr>
          <w:rFonts w:ascii="Inter" w:hAnsi="Inter"/>
          <w:b w:val="0"/>
          <w:color w:val="333333"/>
          <w:sz w:val="18"/>
        </w:rPr>
        <w:t>Legacy is built quietly — one aligned action at a time.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